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w:t>
      </w:r>
      <w:r w:rsidR="00CA2AC0">
        <w:rPr>
          <w:sz w:val="20"/>
          <w:szCs w:val="20"/>
        </w:rPr>
        <w:t xml:space="preserve"> </w:t>
      </w:r>
      <w:r w:rsidR="00CD1C02">
        <w:rPr>
          <w:sz w:val="20"/>
          <w:szCs w:val="20"/>
        </w:rPr>
        <w:t xml:space="preserve">SEMI-TRANSPARENT </w:t>
      </w:r>
      <w:r w:rsidR="00025806">
        <w:rPr>
          <w:sz w:val="20"/>
          <w:szCs w:val="20"/>
        </w:rPr>
        <w:t>LOW FIRE</w:t>
      </w:r>
      <w:r w:rsidRPr="00EF369D">
        <w:rPr>
          <w:sz w:val="20"/>
          <w:szCs w:val="20"/>
        </w:rPr>
        <w:t xml:space="preserve"> GLAZE</w:t>
      </w:r>
      <w:r w:rsidR="00CA2AC0">
        <w:rPr>
          <w:sz w:val="20"/>
          <w:szCs w:val="20"/>
        </w:rPr>
        <w:t xml:space="preserve">S </w:t>
      </w:r>
      <w:r w:rsidR="00671421">
        <w:rPr>
          <w:sz w:val="20"/>
          <w:szCs w:val="20"/>
        </w:rPr>
        <w:t>(</w:t>
      </w:r>
      <w:r w:rsidR="00025806">
        <w:rPr>
          <w:sz w:val="20"/>
          <w:szCs w:val="20"/>
        </w:rPr>
        <w:t>800 SERIES</w:t>
      </w:r>
      <w:r w:rsidRPr="00EF369D">
        <w:rPr>
          <w:sz w:val="20"/>
          <w:szCs w:val="20"/>
        </w:rPr>
        <w:t>)</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t>Hazard Statement(s)</w:t>
      </w:r>
    </w:p>
    <w:p w:rsidR="006B090C" w:rsidRPr="003C1A5D" w:rsidRDefault="006B090C" w:rsidP="003C1A5D">
      <w:pPr>
        <w:pStyle w:val="NoSpacing"/>
        <w:rPr>
          <w:sz w:val="20"/>
          <w:szCs w:val="20"/>
        </w:rPr>
      </w:pPr>
      <w:r w:rsidRPr="003C1A5D">
        <w:rPr>
          <w:sz w:val="20"/>
          <w:szCs w:val="20"/>
        </w:rPr>
        <w:t xml:space="preserve">Harmful if swallowed. May cause long lasting harmful effects to aquatic life.. </w:t>
      </w:r>
      <w:r w:rsidR="003C1A5D" w:rsidRPr="003C1A5D">
        <w:rPr>
          <w:sz w:val="20"/>
          <w:szCs w:val="20"/>
        </w:rPr>
        <w:t>Toxic to aquatic life with long lasting effects. Very toxic to aquatic life. Very toxic to aquatic life with long lasting effects.</w:t>
      </w:r>
    </w:p>
    <w:p w:rsidR="003C1A5D" w:rsidRDefault="003C1A5D" w:rsidP="003C1A5D">
      <w:pPr>
        <w:pStyle w:val="NoSpacing"/>
      </w:pPr>
    </w:p>
    <w:p w:rsidR="00CA2AC0" w:rsidRDefault="00CA2AC0" w:rsidP="003C1A5D">
      <w:pPr>
        <w:pStyle w:val="NoSpacing"/>
      </w:pPr>
    </w:p>
    <w:p w:rsidR="00CA2AC0" w:rsidRDefault="00CA2AC0" w:rsidP="003C1A5D">
      <w:pPr>
        <w:pStyle w:val="NoSpacing"/>
      </w:pPr>
    </w:p>
    <w:p w:rsidR="00CA2AC0" w:rsidRDefault="00CA2AC0" w:rsidP="003C1A5D">
      <w:pPr>
        <w:pStyle w:val="NoSpacing"/>
      </w:pPr>
    </w:p>
    <w:p w:rsidR="006B090C" w:rsidRDefault="00EF369D" w:rsidP="00EF369D">
      <w:pPr>
        <w:rPr>
          <w:b/>
        </w:rPr>
      </w:pPr>
      <w:r w:rsidRPr="00EF369D">
        <w:rPr>
          <w:b/>
        </w:rPr>
        <w:lastRenderedPageBreak/>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1102DE" w:rsidRDefault="001102DE" w:rsidP="00921C3F">
      <w:pPr>
        <w:pStyle w:val="NoSpacing"/>
      </w:pPr>
      <w:r>
        <w:t xml:space="preserve">ZINC                                                              </w:t>
      </w:r>
      <w:r w:rsidR="00A1526E">
        <w:t xml:space="preserve">            </w:t>
      </w:r>
      <w:r>
        <w:t xml:space="preserve">    1314-13-2                 N/A       </w:t>
      </w:r>
      <w:r w:rsidR="00A1526E">
        <w:t xml:space="preserve"> </w:t>
      </w:r>
      <w:r>
        <w:t xml:space="preserve">  4.11040        N          N</w:t>
      </w:r>
    </w:p>
    <w:p w:rsidR="00A1526E" w:rsidRDefault="00A1526E" w:rsidP="00921C3F">
      <w:pPr>
        <w:pStyle w:val="NoSpacing"/>
      </w:pPr>
      <w:r>
        <w:t xml:space="preserve">COPPER                                       </w:t>
      </w:r>
      <w:r w:rsidR="00561DFD">
        <w:t xml:space="preserve">                              </w:t>
      </w:r>
      <w:r>
        <w:t xml:space="preserve">   7440-50-8          </w:t>
      </w:r>
      <w:r w:rsidR="00921C3F">
        <w:t xml:space="preserve">       1.00          3.54600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561DFD" w:rsidRDefault="00561DFD" w:rsidP="00E402D7">
      <w:pPr>
        <w:rPr>
          <w:sz w:val="20"/>
          <w:szCs w:val="20"/>
        </w:rPr>
      </w:pPr>
    </w:p>
    <w:p w:rsidR="00E402D7" w:rsidRDefault="00E402D7" w:rsidP="00E402D7">
      <w:pPr>
        <w:jc w:val="center"/>
        <w:rPr>
          <w:b/>
          <w:sz w:val="28"/>
          <w:szCs w:val="28"/>
        </w:rPr>
      </w:pPr>
      <w:r>
        <w:rPr>
          <w:b/>
          <w:sz w:val="28"/>
          <w:szCs w:val="28"/>
        </w:rPr>
        <w:lastRenderedPageBreak/>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561DFD" w:rsidP="00FB6DAD">
      <w:pPr>
        <w:pStyle w:val="NoSpacing"/>
        <w:rPr>
          <w:sz w:val="20"/>
          <w:szCs w:val="20"/>
        </w:rPr>
      </w:pPr>
      <w:r>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FB6DAD" w:rsidRDefault="00CA2AC0"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Pr="00DA184C" w:rsidRDefault="00561DFD" w:rsidP="00DA184C">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561DFD" w:rsidP="00DA184C">
      <w:pPr>
        <w:pStyle w:val="NoSpacing"/>
        <w:rPr>
          <w:sz w:val="20"/>
          <w:szCs w:val="20"/>
        </w:rPr>
      </w:pPr>
      <w:r>
        <w:rPr>
          <w:sz w:val="20"/>
          <w:szCs w:val="20"/>
        </w:rPr>
        <w:t>NONE</w:t>
      </w:r>
    </w:p>
    <w:p w:rsidR="00CA2AC0" w:rsidRDefault="00CA2AC0"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561DFD"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561DFD"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561DFD"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lastRenderedPageBreak/>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561DFD" w:rsidRDefault="003B6AD7" w:rsidP="003B4446">
      <w:pPr>
        <w:pStyle w:val="NoSpacing"/>
        <w:rPr>
          <w:b/>
          <w:sz w:val="20"/>
          <w:szCs w:val="20"/>
        </w:rPr>
      </w:pPr>
      <w:r>
        <w:rPr>
          <w:b/>
          <w:sz w:val="20"/>
          <w:szCs w:val="20"/>
        </w:rPr>
        <w:t xml:space="preserve">WARNING: MAY BE HARMFUL IF SWALLOWED. </w:t>
      </w:r>
    </w:p>
    <w:p w:rsidR="003B6AD7" w:rsidRDefault="003B6AD7" w:rsidP="003B4446">
      <w:pPr>
        <w:pStyle w:val="NoSpacing"/>
        <w:rPr>
          <w:b/>
          <w:sz w:val="20"/>
          <w:szCs w:val="20"/>
        </w:rPr>
      </w:pPr>
      <w:r>
        <w:rPr>
          <w:b/>
          <w:sz w:val="20"/>
          <w:szCs w:val="20"/>
        </w:rPr>
        <w:t>Contains: COPPER, ZINC</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C54C51" w:rsidRDefault="00025806" w:rsidP="00400A22">
      <w:pPr>
        <w:pStyle w:val="NoSpacing"/>
        <w:rPr>
          <w:sz w:val="20"/>
          <w:szCs w:val="20"/>
        </w:rPr>
      </w:pPr>
      <w:r>
        <w:rPr>
          <w:sz w:val="20"/>
          <w:szCs w:val="20"/>
        </w:rPr>
        <w:t>800</w:t>
      </w:r>
      <w:r w:rsidR="00C54C51">
        <w:rPr>
          <w:sz w:val="20"/>
          <w:szCs w:val="20"/>
        </w:rPr>
        <w:t xml:space="preserve"> </w:t>
      </w:r>
      <w:r w:rsidR="00561DFD">
        <w:rPr>
          <w:sz w:val="20"/>
          <w:szCs w:val="20"/>
        </w:rPr>
        <w:t xml:space="preserve"> </w:t>
      </w:r>
      <w:r>
        <w:rPr>
          <w:sz w:val="20"/>
          <w:szCs w:val="20"/>
        </w:rPr>
        <w:t>Clear</w:t>
      </w:r>
      <w:r w:rsidR="00671421">
        <w:rPr>
          <w:sz w:val="20"/>
          <w:szCs w:val="20"/>
        </w:rPr>
        <w:tab/>
      </w:r>
      <w:r w:rsidR="00EE7C05">
        <w:rPr>
          <w:sz w:val="20"/>
          <w:szCs w:val="20"/>
        </w:rPr>
        <w:tab/>
      </w:r>
      <w:r w:rsidR="00EE7C05">
        <w:rPr>
          <w:sz w:val="20"/>
          <w:szCs w:val="20"/>
        </w:rPr>
        <w:tab/>
      </w:r>
      <w:r w:rsidR="00561DFD">
        <w:rPr>
          <w:sz w:val="20"/>
          <w:szCs w:val="20"/>
        </w:rPr>
        <w:tab/>
      </w:r>
      <w:r w:rsidR="00EE7C05">
        <w:rPr>
          <w:sz w:val="20"/>
          <w:szCs w:val="20"/>
        </w:rPr>
        <w:tab/>
      </w:r>
      <w:r w:rsidR="00EE7C05">
        <w:rPr>
          <w:sz w:val="20"/>
          <w:szCs w:val="20"/>
        </w:rPr>
        <w:tab/>
      </w:r>
      <w:r w:rsidR="00561DFD">
        <w:rPr>
          <w:sz w:val="20"/>
          <w:szCs w:val="20"/>
        </w:rPr>
        <w:t>(NONE)</w:t>
      </w:r>
    </w:p>
    <w:p w:rsidR="00C54C51" w:rsidRDefault="00025806" w:rsidP="00400A22">
      <w:pPr>
        <w:pStyle w:val="NoSpacing"/>
        <w:rPr>
          <w:sz w:val="20"/>
          <w:szCs w:val="20"/>
        </w:rPr>
      </w:pPr>
      <w:r>
        <w:rPr>
          <w:sz w:val="20"/>
          <w:szCs w:val="20"/>
        </w:rPr>
        <w:t>802</w:t>
      </w:r>
      <w:r w:rsidR="00C54C51">
        <w:rPr>
          <w:sz w:val="20"/>
          <w:szCs w:val="20"/>
        </w:rPr>
        <w:t xml:space="preserve">  </w:t>
      </w:r>
      <w:r>
        <w:rPr>
          <w:sz w:val="20"/>
          <w:szCs w:val="20"/>
        </w:rPr>
        <w:t>Ivory Speckle</w:t>
      </w:r>
      <w:r w:rsidR="00EE7C05">
        <w:rPr>
          <w:sz w:val="20"/>
          <w:szCs w:val="20"/>
        </w:rPr>
        <w:tab/>
      </w:r>
      <w:r w:rsidR="00EE7C05">
        <w:rPr>
          <w:sz w:val="20"/>
          <w:szCs w:val="20"/>
        </w:rPr>
        <w:tab/>
      </w:r>
      <w:r w:rsidR="00561DFD">
        <w:rPr>
          <w:sz w:val="20"/>
          <w:szCs w:val="20"/>
        </w:rPr>
        <w:tab/>
      </w:r>
      <w:r w:rsidR="00EE7C05">
        <w:rPr>
          <w:sz w:val="20"/>
          <w:szCs w:val="20"/>
        </w:rPr>
        <w:tab/>
      </w:r>
      <w:r w:rsidR="00EE7C05">
        <w:rPr>
          <w:sz w:val="20"/>
          <w:szCs w:val="20"/>
        </w:rPr>
        <w:tab/>
      </w:r>
      <w:r w:rsidR="00561DFD">
        <w:rPr>
          <w:sz w:val="20"/>
          <w:szCs w:val="20"/>
        </w:rPr>
        <w:t>(NONE)</w:t>
      </w:r>
    </w:p>
    <w:p w:rsidR="00C54C51" w:rsidRDefault="00025806" w:rsidP="00400A22">
      <w:pPr>
        <w:pStyle w:val="NoSpacing"/>
        <w:rPr>
          <w:sz w:val="20"/>
          <w:szCs w:val="20"/>
        </w:rPr>
      </w:pPr>
      <w:r>
        <w:rPr>
          <w:sz w:val="20"/>
          <w:szCs w:val="20"/>
        </w:rPr>
        <w:t>805</w:t>
      </w:r>
      <w:r w:rsidR="00C54C51">
        <w:rPr>
          <w:sz w:val="20"/>
          <w:szCs w:val="20"/>
        </w:rPr>
        <w:t xml:space="preserve">   </w:t>
      </w:r>
      <w:r>
        <w:rPr>
          <w:sz w:val="20"/>
          <w:szCs w:val="20"/>
        </w:rPr>
        <w:t>Spiced Honey</w:t>
      </w:r>
      <w:r w:rsidR="00671421">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561DFD">
        <w:rPr>
          <w:sz w:val="20"/>
          <w:szCs w:val="20"/>
        </w:rPr>
        <w:t>(NONE)</w:t>
      </w:r>
    </w:p>
    <w:p w:rsidR="00C54C51" w:rsidRDefault="00025806" w:rsidP="00400A22">
      <w:pPr>
        <w:pStyle w:val="NoSpacing"/>
        <w:rPr>
          <w:sz w:val="20"/>
          <w:szCs w:val="20"/>
        </w:rPr>
      </w:pPr>
      <w:r>
        <w:rPr>
          <w:sz w:val="20"/>
          <w:szCs w:val="20"/>
        </w:rPr>
        <w:t>806</w:t>
      </w:r>
      <w:r w:rsidR="00C54C51">
        <w:rPr>
          <w:sz w:val="20"/>
          <w:szCs w:val="20"/>
        </w:rPr>
        <w:t xml:space="preserve">   </w:t>
      </w:r>
      <w:r>
        <w:rPr>
          <w:sz w:val="20"/>
          <w:szCs w:val="20"/>
        </w:rPr>
        <w:t>Brown Sugar</w:t>
      </w:r>
      <w:r w:rsidR="00561DFD">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025806" w:rsidP="00400A22">
      <w:pPr>
        <w:pStyle w:val="NoSpacing"/>
        <w:rPr>
          <w:sz w:val="20"/>
          <w:szCs w:val="20"/>
        </w:rPr>
      </w:pPr>
      <w:r>
        <w:rPr>
          <w:sz w:val="20"/>
          <w:szCs w:val="20"/>
        </w:rPr>
        <w:t>808</w:t>
      </w:r>
      <w:r w:rsidR="00C54C51">
        <w:rPr>
          <w:sz w:val="20"/>
          <w:szCs w:val="20"/>
        </w:rPr>
        <w:t xml:space="preserve">   </w:t>
      </w:r>
      <w:r>
        <w:rPr>
          <w:sz w:val="20"/>
          <w:szCs w:val="20"/>
        </w:rPr>
        <w:t>Clear Blue</w:t>
      </w:r>
      <w:r>
        <w:rPr>
          <w:sz w:val="20"/>
          <w:szCs w:val="20"/>
        </w:rPr>
        <w:tab/>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025806" w:rsidP="00400A22">
      <w:pPr>
        <w:pStyle w:val="NoSpacing"/>
        <w:rPr>
          <w:sz w:val="20"/>
          <w:szCs w:val="20"/>
        </w:rPr>
      </w:pPr>
      <w:r>
        <w:rPr>
          <w:sz w:val="20"/>
          <w:szCs w:val="20"/>
        </w:rPr>
        <w:t>809</w:t>
      </w:r>
      <w:r w:rsidR="00C54C51">
        <w:rPr>
          <w:sz w:val="20"/>
          <w:szCs w:val="20"/>
        </w:rPr>
        <w:t xml:space="preserve">  </w:t>
      </w:r>
      <w:r>
        <w:rPr>
          <w:sz w:val="20"/>
          <w:szCs w:val="20"/>
        </w:rPr>
        <w:t xml:space="preserve"> Clear Pink</w:t>
      </w:r>
      <w:r w:rsidR="00CA2AC0">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C54C51" w:rsidRDefault="00025806" w:rsidP="00400A22">
      <w:pPr>
        <w:pStyle w:val="NoSpacing"/>
        <w:rPr>
          <w:sz w:val="20"/>
          <w:szCs w:val="20"/>
        </w:rPr>
      </w:pPr>
      <w:r>
        <w:rPr>
          <w:sz w:val="20"/>
          <w:szCs w:val="20"/>
        </w:rPr>
        <w:t>812</w:t>
      </w:r>
      <w:r w:rsidR="00C54C51">
        <w:rPr>
          <w:sz w:val="20"/>
          <w:szCs w:val="20"/>
        </w:rPr>
        <w:t xml:space="preserve"> </w:t>
      </w:r>
      <w:r w:rsidR="00561DFD">
        <w:rPr>
          <w:sz w:val="20"/>
          <w:szCs w:val="20"/>
        </w:rPr>
        <w:t xml:space="preserve"> </w:t>
      </w:r>
      <w:r>
        <w:rPr>
          <w:sz w:val="20"/>
          <w:szCs w:val="20"/>
        </w:rPr>
        <w:t xml:space="preserve"> Beanpot Brown</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t>(NONE)</w:t>
      </w:r>
    </w:p>
    <w:p w:rsidR="00025806" w:rsidRDefault="00025806" w:rsidP="00400A22">
      <w:pPr>
        <w:pStyle w:val="NoSpacing"/>
        <w:rPr>
          <w:sz w:val="20"/>
          <w:szCs w:val="20"/>
        </w:rPr>
      </w:pPr>
      <w:r>
        <w:rPr>
          <w:sz w:val="20"/>
          <w:szCs w:val="20"/>
        </w:rPr>
        <w:t>813</w:t>
      </w:r>
      <w:r w:rsidR="00C54C51">
        <w:rPr>
          <w:sz w:val="20"/>
          <w:szCs w:val="20"/>
        </w:rPr>
        <w:t xml:space="preserve">   </w:t>
      </w:r>
      <w:r>
        <w:rPr>
          <w:sz w:val="20"/>
          <w:szCs w:val="20"/>
        </w:rPr>
        <w:t>Denim Blue</w:t>
      </w:r>
      <w:r>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(NONE)</w:t>
      </w:r>
    </w:p>
    <w:p w:rsidR="00C54C51" w:rsidRDefault="00025806" w:rsidP="00400A22">
      <w:pPr>
        <w:pStyle w:val="NoSpacing"/>
        <w:rPr>
          <w:sz w:val="20"/>
          <w:szCs w:val="20"/>
        </w:rPr>
      </w:pPr>
      <w:r>
        <w:rPr>
          <w:sz w:val="20"/>
          <w:szCs w:val="20"/>
        </w:rPr>
        <w:t>814</w:t>
      </w:r>
      <w:r w:rsidR="00C54C51">
        <w:rPr>
          <w:sz w:val="20"/>
          <w:szCs w:val="20"/>
        </w:rPr>
        <w:t xml:space="preserve"> </w:t>
      </w:r>
      <w:r w:rsidR="0047581F">
        <w:rPr>
          <w:sz w:val="20"/>
          <w:szCs w:val="20"/>
        </w:rPr>
        <w:t xml:space="preserve">  </w:t>
      </w:r>
      <w:r>
        <w:rPr>
          <w:sz w:val="20"/>
          <w:szCs w:val="20"/>
        </w:rPr>
        <w:t>Turquoise</w:t>
      </w:r>
      <w:r>
        <w:rPr>
          <w:sz w:val="20"/>
          <w:szCs w:val="20"/>
        </w:rPr>
        <w:tab/>
      </w:r>
      <w:r w:rsidR="0047581F">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47581F">
        <w:rPr>
          <w:sz w:val="20"/>
          <w:szCs w:val="20"/>
        </w:rPr>
        <w:t>(NONE)</w:t>
      </w:r>
    </w:p>
    <w:p w:rsidR="00C54C51" w:rsidRDefault="00025806" w:rsidP="00400A22">
      <w:pPr>
        <w:pStyle w:val="NoSpacing"/>
        <w:rPr>
          <w:sz w:val="20"/>
          <w:szCs w:val="20"/>
        </w:rPr>
      </w:pPr>
      <w:r>
        <w:rPr>
          <w:sz w:val="20"/>
          <w:szCs w:val="20"/>
        </w:rPr>
        <w:t>816</w:t>
      </w:r>
      <w:r w:rsidR="00C54C51">
        <w:rPr>
          <w:sz w:val="20"/>
          <w:szCs w:val="20"/>
        </w:rPr>
        <w:t xml:space="preserve">   </w:t>
      </w:r>
      <w:r>
        <w:rPr>
          <w:sz w:val="20"/>
          <w:szCs w:val="20"/>
        </w:rPr>
        <w:t>Lime Green</w:t>
      </w:r>
      <w:r w:rsidR="00CA2AC0">
        <w:rPr>
          <w:sz w:val="20"/>
          <w:szCs w:val="20"/>
        </w:rPr>
        <w:tab/>
      </w:r>
      <w:r>
        <w:rPr>
          <w:sz w:val="20"/>
          <w:szCs w:val="20"/>
        </w:rPr>
        <w:tab/>
      </w:r>
      <w:r>
        <w:rPr>
          <w:sz w:val="20"/>
          <w:szCs w:val="20"/>
        </w:rPr>
        <w:tab/>
      </w:r>
      <w:r>
        <w:rPr>
          <w:sz w:val="20"/>
          <w:szCs w:val="20"/>
        </w:rPr>
        <w:tab/>
      </w:r>
      <w:r w:rsidR="00A84CD3">
        <w:rPr>
          <w:sz w:val="20"/>
          <w:szCs w:val="20"/>
        </w:rPr>
        <w:tab/>
      </w:r>
      <w:r w:rsidR="00A84CD3">
        <w:rPr>
          <w:sz w:val="20"/>
          <w:szCs w:val="20"/>
        </w:rPr>
        <w:tab/>
      </w:r>
      <w:r w:rsidR="00561DFD">
        <w:rPr>
          <w:sz w:val="20"/>
          <w:szCs w:val="20"/>
        </w:rPr>
        <w:t>(NONE)</w:t>
      </w:r>
    </w:p>
    <w:p w:rsidR="00C54C51" w:rsidRDefault="00025806" w:rsidP="00400A22">
      <w:pPr>
        <w:pStyle w:val="NoSpacing"/>
        <w:rPr>
          <w:sz w:val="20"/>
          <w:szCs w:val="20"/>
        </w:rPr>
      </w:pPr>
      <w:r>
        <w:rPr>
          <w:sz w:val="20"/>
          <w:szCs w:val="20"/>
        </w:rPr>
        <w:t>818</w:t>
      </w:r>
      <w:r w:rsidR="00C54C51">
        <w:rPr>
          <w:sz w:val="20"/>
          <w:szCs w:val="20"/>
        </w:rPr>
        <w:t xml:space="preserve">   </w:t>
      </w:r>
      <w:r>
        <w:rPr>
          <w:sz w:val="20"/>
          <w:szCs w:val="20"/>
        </w:rPr>
        <w:t>Holly Green</w:t>
      </w:r>
      <w:r w:rsidR="00CA2AC0">
        <w:rPr>
          <w:sz w:val="20"/>
          <w:szCs w:val="20"/>
        </w:rPr>
        <w:tab/>
      </w:r>
      <w:r w:rsidR="0047581F">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sidR="00911654">
        <w:rPr>
          <w:sz w:val="20"/>
          <w:szCs w:val="20"/>
        </w:rPr>
        <w:t>COPPER</w:t>
      </w:r>
    </w:p>
    <w:p w:rsidR="00C54C51" w:rsidRDefault="00025806" w:rsidP="00400A22">
      <w:pPr>
        <w:pStyle w:val="NoSpacing"/>
        <w:rPr>
          <w:sz w:val="20"/>
          <w:szCs w:val="20"/>
        </w:rPr>
      </w:pPr>
      <w:r>
        <w:rPr>
          <w:sz w:val="20"/>
          <w:szCs w:val="20"/>
        </w:rPr>
        <w:t>819</w:t>
      </w:r>
      <w:r w:rsidR="00C54C51">
        <w:rPr>
          <w:sz w:val="20"/>
          <w:szCs w:val="20"/>
        </w:rPr>
        <w:t xml:space="preserve">   </w:t>
      </w:r>
      <w:r>
        <w:rPr>
          <w:sz w:val="20"/>
          <w:szCs w:val="20"/>
        </w:rPr>
        <w:t>Light Lime</w:t>
      </w:r>
      <w:r>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sidR="00A84CD3">
        <w:rPr>
          <w:sz w:val="20"/>
          <w:szCs w:val="20"/>
        </w:rPr>
        <w:tab/>
      </w:r>
      <w:r>
        <w:rPr>
          <w:sz w:val="20"/>
          <w:szCs w:val="20"/>
        </w:rPr>
        <w:t>(NONE)</w:t>
      </w:r>
    </w:p>
    <w:p w:rsidR="00025806" w:rsidRDefault="00025806" w:rsidP="00025806">
      <w:pPr>
        <w:pStyle w:val="NoSpacing"/>
        <w:rPr>
          <w:sz w:val="20"/>
          <w:szCs w:val="20"/>
        </w:rPr>
      </w:pPr>
      <w:r>
        <w:rPr>
          <w:sz w:val="20"/>
          <w:szCs w:val="20"/>
        </w:rPr>
        <w:t>820   Aquamarine</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025806" w:rsidRDefault="00025806" w:rsidP="00025806">
      <w:pPr>
        <w:pStyle w:val="NoSpacing"/>
        <w:rPr>
          <w:sz w:val="20"/>
          <w:szCs w:val="20"/>
        </w:rPr>
      </w:pPr>
      <w:r>
        <w:rPr>
          <w:sz w:val="20"/>
          <w:szCs w:val="20"/>
        </w:rPr>
        <w:t>821   Wintergreen</w:t>
      </w:r>
      <w:r>
        <w:rPr>
          <w:sz w:val="20"/>
          <w:szCs w:val="20"/>
        </w:rPr>
        <w:tab/>
      </w:r>
      <w:r>
        <w:rPr>
          <w:sz w:val="20"/>
          <w:szCs w:val="20"/>
        </w:rPr>
        <w:tab/>
      </w:r>
      <w:r>
        <w:rPr>
          <w:sz w:val="20"/>
          <w:szCs w:val="20"/>
        </w:rPr>
        <w:tab/>
      </w:r>
      <w:r>
        <w:rPr>
          <w:sz w:val="20"/>
          <w:szCs w:val="20"/>
        </w:rPr>
        <w:tab/>
      </w:r>
      <w:r>
        <w:rPr>
          <w:sz w:val="20"/>
          <w:szCs w:val="20"/>
        </w:rPr>
        <w:tab/>
      </w:r>
      <w:r w:rsidR="00911654">
        <w:rPr>
          <w:sz w:val="20"/>
          <w:szCs w:val="20"/>
        </w:rPr>
        <w:t>COPPER</w:t>
      </w:r>
    </w:p>
    <w:p w:rsidR="00025806" w:rsidRDefault="00025806" w:rsidP="00025806">
      <w:pPr>
        <w:pStyle w:val="NoSpacing"/>
        <w:rPr>
          <w:sz w:val="20"/>
          <w:szCs w:val="20"/>
        </w:rPr>
      </w:pPr>
      <w:r>
        <w:rPr>
          <w:sz w:val="20"/>
          <w:szCs w:val="20"/>
        </w:rPr>
        <w:t>822   Emerald Green</w:t>
      </w:r>
      <w:r>
        <w:rPr>
          <w:sz w:val="20"/>
          <w:szCs w:val="20"/>
        </w:rPr>
        <w:tab/>
      </w:r>
      <w:r>
        <w:rPr>
          <w:sz w:val="20"/>
          <w:szCs w:val="20"/>
        </w:rPr>
        <w:tab/>
      </w:r>
      <w:r>
        <w:rPr>
          <w:sz w:val="20"/>
          <w:szCs w:val="20"/>
        </w:rPr>
        <w:tab/>
      </w:r>
      <w:r>
        <w:rPr>
          <w:sz w:val="20"/>
          <w:szCs w:val="20"/>
        </w:rPr>
        <w:tab/>
      </w:r>
      <w:r>
        <w:rPr>
          <w:sz w:val="20"/>
          <w:szCs w:val="20"/>
        </w:rPr>
        <w:tab/>
      </w:r>
      <w:r w:rsidR="00911654">
        <w:rPr>
          <w:sz w:val="20"/>
          <w:szCs w:val="20"/>
        </w:rPr>
        <w:t>COPPER</w:t>
      </w:r>
    </w:p>
    <w:p w:rsidR="00025806" w:rsidRDefault="00025806" w:rsidP="00025806">
      <w:pPr>
        <w:pStyle w:val="NoSpacing"/>
        <w:rPr>
          <w:sz w:val="20"/>
          <w:szCs w:val="20"/>
        </w:rPr>
      </w:pPr>
      <w:r>
        <w:rPr>
          <w:sz w:val="20"/>
          <w:szCs w:val="20"/>
        </w:rPr>
        <w:t>823   Evergreen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11654">
        <w:rPr>
          <w:sz w:val="20"/>
          <w:szCs w:val="20"/>
        </w:rPr>
        <w:t>COPPER</w:t>
      </w:r>
    </w:p>
    <w:p w:rsidR="00025806" w:rsidRDefault="00025806" w:rsidP="00025806">
      <w:pPr>
        <w:pStyle w:val="NoSpacing"/>
        <w:rPr>
          <w:sz w:val="20"/>
          <w:szCs w:val="20"/>
        </w:rPr>
      </w:pPr>
      <w:r>
        <w:rPr>
          <w:sz w:val="20"/>
          <w:szCs w:val="20"/>
        </w:rPr>
        <w:t>824   Grape</w:t>
      </w:r>
      <w:r>
        <w:rPr>
          <w:sz w:val="20"/>
          <w:szCs w:val="20"/>
        </w:rPr>
        <w:tab/>
      </w:r>
      <w:r>
        <w:rPr>
          <w:sz w:val="20"/>
          <w:szCs w:val="20"/>
        </w:rPr>
        <w:tab/>
      </w:r>
      <w:r>
        <w:rPr>
          <w:sz w:val="20"/>
          <w:szCs w:val="20"/>
        </w:rPr>
        <w:tab/>
      </w:r>
      <w:r>
        <w:rPr>
          <w:sz w:val="20"/>
          <w:szCs w:val="20"/>
        </w:rPr>
        <w:tab/>
      </w:r>
      <w:r>
        <w:rPr>
          <w:sz w:val="20"/>
          <w:szCs w:val="20"/>
        </w:rPr>
        <w:tab/>
      </w:r>
      <w:r>
        <w:rPr>
          <w:sz w:val="20"/>
          <w:szCs w:val="20"/>
        </w:rPr>
        <w:tab/>
        <w:t>(NONE)</w:t>
      </w:r>
    </w:p>
    <w:p w:rsidR="00025806" w:rsidRDefault="00025806" w:rsidP="00025806">
      <w:pPr>
        <w:pStyle w:val="NoSpacing"/>
        <w:rPr>
          <w:sz w:val="20"/>
          <w:szCs w:val="20"/>
        </w:rPr>
      </w:pPr>
      <w:r>
        <w:rPr>
          <w:sz w:val="20"/>
          <w:szCs w:val="20"/>
        </w:rPr>
        <w:t>825   Umber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11654">
        <w:rPr>
          <w:sz w:val="20"/>
          <w:szCs w:val="20"/>
        </w:rPr>
        <w:t>ZINC</w:t>
      </w:r>
    </w:p>
    <w:p w:rsidR="00025806" w:rsidRDefault="00025806" w:rsidP="00025806">
      <w:pPr>
        <w:pStyle w:val="NoSpacing"/>
        <w:rPr>
          <w:sz w:val="20"/>
          <w:szCs w:val="20"/>
        </w:rPr>
      </w:pPr>
      <w:r>
        <w:rPr>
          <w:sz w:val="20"/>
          <w:szCs w:val="20"/>
        </w:rPr>
        <w:t>826   Caramel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11654">
        <w:rPr>
          <w:sz w:val="20"/>
          <w:szCs w:val="20"/>
        </w:rPr>
        <w:t>ZINC</w:t>
      </w:r>
    </w:p>
    <w:p w:rsidR="00025806" w:rsidRDefault="00025806" w:rsidP="00025806">
      <w:pPr>
        <w:pStyle w:val="NoSpacing"/>
        <w:rPr>
          <w:sz w:val="20"/>
          <w:szCs w:val="20"/>
        </w:rPr>
      </w:pPr>
      <w:r>
        <w:rPr>
          <w:sz w:val="20"/>
          <w:szCs w:val="20"/>
        </w:rPr>
        <w:t>827   Tan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11654">
        <w:rPr>
          <w:sz w:val="20"/>
          <w:szCs w:val="20"/>
        </w:rPr>
        <w:t>ZINC</w:t>
      </w:r>
    </w:p>
    <w:p w:rsidR="00025806" w:rsidRDefault="00025806" w:rsidP="00025806">
      <w:pPr>
        <w:pStyle w:val="NoSpacing"/>
        <w:rPr>
          <w:sz w:val="20"/>
          <w:szCs w:val="20"/>
        </w:rPr>
      </w:pPr>
      <w:r>
        <w:rPr>
          <w:sz w:val="20"/>
          <w:szCs w:val="20"/>
        </w:rPr>
        <w:t xml:space="preserve">828   </w:t>
      </w:r>
      <w:r w:rsidR="00911654">
        <w:rPr>
          <w:sz w:val="20"/>
          <w:szCs w:val="20"/>
        </w:rPr>
        <w:t>Light Tan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11654">
        <w:rPr>
          <w:sz w:val="20"/>
          <w:szCs w:val="20"/>
        </w:rPr>
        <w:t>ZINC</w:t>
      </w:r>
    </w:p>
    <w:p w:rsidR="000B178B" w:rsidRPr="00C54C51" w:rsidRDefault="000B178B" w:rsidP="00400A22">
      <w:pPr>
        <w:pStyle w:val="NoSpacing"/>
        <w:rPr>
          <w:sz w:val="20"/>
          <w:szCs w:val="20"/>
        </w:rPr>
      </w:pPr>
    </w:p>
    <w:sectPr w:rsidR="000B178B" w:rsidRPr="00C54C51" w:rsidSect="002408FC">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9AD" w:rsidRDefault="004379AD" w:rsidP="00EF369D">
      <w:pPr>
        <w:spacing w:after="0" w:line="240" w:lineRule="auto"/>
      </w:pPr>
      <w:r>
        <w:separator/>
      </w:r>
    </w:p>
  </w:endnote>
  <w:endnote w:type="continuationSeparator" w:id="1">
    <w:p w:rsidR="004379AD" w:rsidRDefault="004379AD"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E81589">
        <w:pPr>
          <w:pStyle w:val="Footer"/>
          <w:jc w:val="right"/>
        </w:pPr>
        <w:fldSimple w:instr=" PAGE   \* MERGEFORMAT ">
          <w:r w:rsidR="00911654">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9AD" w:rsidRDefault="004379AD" w:rsidP="00EF369D">
      <w:pPr>
        <w:spacing w:after="0" w:line="240" w:lineRule="auto"/>
      </w:pPr>
      <w:r>
        <w:separator/>
      </w:r>
    </w:p>
  </w:footnote>
  <w:footnote w:type="continuationSeparator" w:id="1">
    <w:p w:rsidR="004379AD" w:rsidRDefault="004379AD"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257E0"/>
    <w:rsid w:val="00025806"/>
    <w:rsid w:val="000B178B"/>
    <w:rsid w:val="000D49D4"/>
    <w:rsid w:val="001102DE"/>
    <w:rsid w:val="00161ED8"/>
    <w:rsid w:val="001C4AD0"/>
    <w:rsid w:val="002408FC"/>
    <w:rsid w:val="00312C0E"/>
    <w:rsid w:val="003A4C09"/>
    <w:rsid w:val="003B4446"/>
    <w:rsid w:val="003B6AD7"/>
    <w:rsid w:val="003C1A5D"/>
    <w:rsid w:val="00400A22"/>
    <w:rsid w:val="004325CD"/>
    <w:rsid w:val="004379AD"/>
    <w:rsid w:val="0047581F"/>
    <w:rsid w:val="004A7388"/>
    <w:rsid w:val="00517102"/>
    <w:rsid w:val="00547D9A"/>
    <w:rsid w:val="00561DFD"/>
    <w:rsid w:val="005F3125"/>
    <w:rsid w:val="006238F8"/>
    <w:rsid w:val="00671421"/>
    <w:rsid w:val="0067692B"/>
    <w:rsid w:val="006B090C"/>
    <w:rsid w:val="007843E0"/>
    <w:rsid w:val="007C2B74"/>
    <w:rsid w:val="007E0092"/>
    <w:rsid w:val="00911654"/>
    <w:rsid w:val="00921C3F"/>
    <w:rsid w:val="00A1526E"/>
    <w:rsid w:val="00A84CD3"/>
    <w:rsid w:val="00AB55B4"/>
    <w:rsid w:val="00B61211"/>
    <w:rsid w:val="00C43E15"/>
    <w:rsid w:val="00C54C51"/>
    <w:rsid w:val="00C61F18"/>
    <w:rsid w:val="00CA2AC0"/>
    <w:rsid w:val="00CD1C02"/>
    <w:rsid w:val="00D42102"/>
    <w:rsid w:val="00DA184C"/>
    <w:rsid w:val="00E402D7"/>
    <w:rsid w:val="00E800C2"/>
    <w:rsid w:val="00E81589"/>
    <w:rsid w:val="00E9231F"/>
    <w:rsid w:val="00EC146D"/>
    <w:rsid w:val="00EE7C05"/>
    <w:rsid w:val="00EF369D"/>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3</cp:revision>
  <cp:lastPrinted>2017-08-30T19:36:00Z</cp:lastPrinted>
  <dcterms:created xsi:type="dcterms:W3CDTF">2018-11-30T20:32:00Z</dcterms:created>
  <dcterms:modified xsi:type="dcterms:W3CDTF">2018-11-30T20:45:00Z</dcterms:modified>
</cp:coreProperties>
</file>